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9E4" w:rsidRPr="002E69A5" w:rsidRDefault="007739E4" w:rsidP="007739E4">
      <w:pPr>
        <w:rPr>
          <w:b/>
          <w:bCs/>
          <w:sz w:val="24"/>
          <w:szCs w:val="24"/>
          <w:rtl/>
        </w:rPr>
      </w:pPr>
      <w:bookmarkStart w:id="0" w:name="_GoBack"/>
      <w:bookmarkEnd w:id="0"/>
      <w:r>
        <w:rPr>
          <w:rFonts w:hint="cs"/>
          <w:b/>
          <w:bCs/>
          <w:sz w:val="24"/>
          <w:szCs w:val="24"/>
          <w:rtl/>
        </w:rPr>
        <w:t>בס"ד</w:t>
      </w:r>
    </w:p>
    <w:p w:rsidR="007739E4" w:rsidRPr="004A7029" w:rsidRDefault="007739E4" w:rsidP="007739E4">
      <w:pPr>
        <w:jc w:val="center"/>
        <w:rPr>
          <w:b/>
          <w:bCs/>
          <w:sz w:val="28"/>
          <w:szCs w:val="28"/>
          <w:u w:val="single"/>
          <w:rtl/>
        </w:rPr>
      </w:pPr>
      <w:r w:rsidRPr="004A7029">
        <w:rPr>
          <w:rFonts w:hint="cs"/>
          <w:b/>
          <w:bCs/>
          <w:sz w:val="28"/>
          <w:szCs w:val="28"/>
          <w:u w:val="single"/>
          <w:rtl/>
        </w:rPr>
        <w:t>עלה למעלה עלה</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השתלמות מורים על תלמידים עולים מצרפת</w:t>
      </w:r>
    </w:p>
    <w:p w:rsidR="007739E4" w:rsidRDefault="007739E4" w:rsidP="007739E4">
      <w:pPr>
        <w:rPr>
          <w:b/>
          <w:bCs/>
          <w:sz w:val="24"/>
          <w:szCs w:val="24"/>
          <w:rtl/>
        </w:rPr>
      </w:pPr>
      <w:r>
        <w:rPr>
          <w:rFonts w:hint="cs"/>
          <w:b/>
          <w:bCs/>
          <w:sz w:val="24"/>
          <w:szCs w:val="24"/>
          <w:rtl/>
        </w:rPr>
        <w:t xml:space="preserve">ע"י מר אשר </w:t>
      </w:r>
      <w:proofErr w:type="spellStart"/>
      <w:r>
        <w:rPr>
          <w:rFonts w:hint="cs"/>
          <w:b/>
          <w:bCs/>
          <w:sz w:val="24"/>
          <w:szCs w:val="24"/>
          <w:rtl/>
        </w:rPr>
        <w:t>זנזורי</w:t>
      </w:r>
      <w:proofErr w:type="spellEnd"/>
    </w:p>
    <w:p w:rsidR="007739E4" w:rsidRPr="00414ED7" w:rsidRDefault="007739E4" w:rsidP="007739E4">
      <w:pPr>
        <w:rPr>
          <w:b/>
          <w:bCs/>
          <w:sz w:val="24"/>
          <w:szCs w:val="24"/>
          <w:rtl/>
        </w:rPr>
      </w:pPr>
    </w:p>
    <w:p w:rsidR="007739E4" w:rsidRDefault="007739E4" w:rsidP="007739E4">
      <w:pPr>
        <w:rPr>
          <w:sz w:val="24"/>
          <w:szCs w:val="24"/>
          <w:rtl/>
        </w:rPr>
      </w:pPr>
      <w:proofErr w:type="spellStart"/>
      <w:r w:rsidRPr="004A7029">
        <w:rPr>
          <w:rFonts w:hint="cs"/>
          <w:sz w:val="24"/>
          <w:szCs w:val="24"/>
          <w:u w:val="single"/>
          <w:rtl/>
        </w:rPr>
        <w:t>רציונאל</w:t>
      </w:r>
      <w:proofErr w:type="spellEnd"/>
      <w:r w:rsidRPr="004A7029">
        <w:rPr>
          <w:rFonts w:hint="cs"/>
          <w:sz w:val="24"/>
          <w:szCs w:val="24"/>
          <w:u w:val="single"/>
          <w:rtl/>
        </w:rPr>
        <w:t xml:space="preserve"> ההשתלמות</w:t>
      </w:r>
      <w:r>
        <w:rPr>
          <w:rFonts w:hint="cs"/>
          <w:sz w:val="24"/>
          <w:szCs w:val="24"/>
          <w:u w:val="single"/>
          <w:rtl/>
        </w:rPr>
        <w:t>:</w:t>
      </w:r>
    </w:p>
    <w:p w:rsidR="007739E4" w:rsidRDefault="007739E4" w:rsidP="007739E4">
      <w:pPr>
        <w:rPr>
          <w:sz w:val="24"/>
          <w:szCs w:val="24"/>
          <w:rtl/>
        </w:rPr>
      </w:pPr>
      <w:r w:rsidRPr="0034423B">
        <w:rPr>
          <w:rFonts w:cs="Arial"/>
          <w:sz w:val="24"/>
          <w:szCs w:val="24"/>
          <w:rtl/>
        </w:rPr>
        <w:t>קחו ילד מצרפת, והניחו אותו בסביבה שמדברים בה שפה שזרה לו, שלומדים בה מתמטיקה בצורה אחרת, סביבה בעלת תרבות שונה משלו, שבה הרגלי למידה שונים מאלה שהורגל בהם; סביבה שבה אתה צריך לרכוש חברים חדשים, להתמודד עם הורים אבודים ותלושים, ללא נקודות אחיזה; שבה צצות בעיות כלכליות חדשות. תוסיפו מנת סטיגמות, קצת אי הבנה והרבה גורמים שרוצים לעזור אבל שלרוב אינם מסונכרנים, שיורים לכל הכיוונים בלי לשמוע אותך באמת, בלי להבין אותך לעומק. מה הסיכוי שתהיה לך הזדמנות שווה לזו של הצברים בצבא, באוניברסיטה או – מאוחר יותר – בשוק העבודה בארץ? הסיכוי הזה אינו גדול. אבל אם נגדיל ראש ונבין איפה אפשר לשפר ואיך להיכנס לראש של כל ילד עולה מצרפת, בידינו לשנות מציאות. "עלה למעלה עלה" הוא קורס קליל ופשוט שמטרתו העיקרית להפוך את הקשה לקל. דרך הבנת התהליכים; דרך סיפורים, סרטים, תרגילים ודוגמאות. דרך היגיון בריא, לטובת כולם.</w:t>
      </w:r>
    </w:p>
    <w:p w:rsidR="007739E4" w:rsidRDefault="007739E4" w:rsidP="007739E4">
      <w:pPr>
        <w:rPr>
          <w:sz w:val="24"/>
          <w:szCs w:val="24"/>
          <w:rtl/>
        </w:rPr>
      </w:pPr>
    </w:p>
    <w:p w:rsidR="007739E4" w:rsidRDefault="007739E4" w:rsidP="007739E4">
      <w:pPr>
        <w:rPr>
          <w:sz w:val="24"/>
          <w:szCs w:val="24"/>
          <w:rtl/>
        </w:rPr>
      </w:pPr>
      <w:r>
        <w:rPr>
          <w:rFonts w:hint="cs"/>
          <w:sz w:val="24"/>
          <w:szCs w:val="24"/>
          <w:u w:val="single"/>
          <w:rtl/>
        </w:rPr>
        <w:t>ראשי פרקים:</w:t>
      </w:r>
    </w:p>
    <w:p w:rsidR="007739E4" w:rsidRPr="004A7029" w:rsidRDefault="007739E4" w:rsidP="007739E4">
      <w:pPr>
        <w:pStyle w:val="a3"/>
        <w:numPr>
          <w:ilvl w:val="0"/>
          <w:numId w:val="1"/>
        </w:numPr>
        <w:rPr>
          <w:sz w:val="24"/>
          <w:szCs w:val="24"/>
          <w:rtl/>
        </w:rPr>
      </w:pPr>
      <w:r w:rsidRPr="004A7029">
        <w:rPr>
          <w:rFonts w:cs="Arial"/>
          <w:sz w:val="24"/>
          <w:szCs w:val="24"/>
          <w:rtl/>
        </w:rPr>
        <w:t>צעיר עולה מצרפת מ</w:t>
      </w:r>
      <w:r>
        <w:rPr>
          <w:rFonts w:cs="Arial" w:hint="cs"/>
          <w:sz w:val="24"/>
          <w:szCs w:val="24"/>
          <w:rtl/>
        </w:rPr>
        <w:t>י</w:t>
      </w:r>
      <w:r w:rsidRPr="004A7029">
        <w:rPr>
          <w:rFonts w:cs="Arial"/>
          <w:sz w:val="24"/>
          <w:szCs w:val="24"/>
          <w:rtl/>
        </w:rPr>
        <w:t>הו: נתונים ורקע</w:t>
      </w:r>
    </w:p>
    <w:p w:rsidR="007739E4" w:rsidRPr="004A7029" w:rsidRDefault="007739E4" w:rsidP="007739E4">
      <w:pPr>
        <w:rPr>
          <w:sz w:val="24"/>
          <w:szCs w:val="24"/>
          <w:rtl/>
        </w:rPr>
      </w:pPr>
      <w:r w:rsidRPr="004A7029">
        <w:rPr>
          <w:rFonts w:cs="Arial"/>
          <w:sz w:val="24"/>
          <w:szCs w:val="24"/>
          <w:rtl/>
        </w:rPr>
        <w:t xml:space="preserve"> מספרים ומציאות בנוגע לעלייה מצרפת, </w:t>
      </w:r>
      <w:proofErr w:type="spellStart"/>
      <w:r w:rsidRPr="004A7029">
        <w:rPr>
          <w:rFonts w:cs="Arial"/>
          <w:sz w:val="24"/>
          <w:szCs w:val="24"/>
          <w:rtl/>
        </w:rPr>
        <w:t>מימדי</w:t>
      </w:r>
      <w:proofErr w:type="spellEnd"/>
      <w:r w:rsidRPr="004A7029">
        <w:rPr>
          <w:rFonts w:cs="Arial"/>
          <w:sz w:val="24"/>
          <w:szCs w:val="24"/>
          <w:rtl/>
        </w:rPr>
        <w:t xml:space="preserve"> העלייה, גילאי העולים, ערים שקולטות עלייה, אופי אוכלוסיי</w:t>
      </w:r>
      <w:r>
        <w:rPr>
          <w:rFonts w:cs="Arial" w:hint="cs"/>
          <w:sz w:val="24"/>
          <w:szCs w:val="24"/>
          <w:rtl/>
        </w:rPr>
        <w:t>ת העולים</w:t>
      </w:r>
      <w:r w:rsidRPr="004A7029">
        <w:rPr>
          <w:rFonts w:cs="Arial"/>
          <w:sz w:val="24"/>
          <w:szCs w:val="24"/>
          <w:rtl/>
        </w:rPr>
        <w:t xml:space="preserve"> וכדו</w:t>
      </w:r>
      <w:r>
        <w:rPr>
          <w:rFonts w:cs="Arial" w:hint="cs"/>
          <w:sz w:val="24"/>
          <w:szCs w:val="24"/>
          <w:rtl/>
        </w:rPr>
        <w:t>'</w:t>
      </w:r>
      <w:r w:rsidRPr="004A7029">
        <w:rPr>
          <w:rFonts w:cs="Arial"/>
          <w:sz w:val="24"/>
          <w:szCs w:val="24"/>
          <w:rtl/>
        </w:rPr>
        <w:t>. </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t>בית הספר בצרפת מול בית הספר בארץ</w:t>
      </w:r>
    </w:p>
    <w:p w:rsidR="007739E4" w:rsidRPr="004A7029" w:rsidRDefault="007739E4" w:rsidP="007739E4">
      <w:pPr>
        <w:rPr>
          <w:sz w:val="24"/>
          <w:szCs w:val="24"/>
          <w:rtl/>
        </w:rPr>
      </w:pPr>
      <w:r w:rsidRPr="004A7029">
        <w:rPr>
          <w:rFonts w:cs="Arial"/>
          <w:sz w:val="24"/>
          <w:szCs w:val="24"/>
          <w:rtl/>
        </w:rPr>
        <w:t>ההבדלים בין מערכות החינוך, המנטליות, המטרות והאתגרים. מבוא להבנה עמוקה יותר של מה שחווה עולה צעיר. </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t>הרלוונטיות של פירמידת מסלו בקליטת התלמיד העולה</w:t>
      </w:r>
    </w:p>
    <w:p w:rsidR="007739E4" w:rsidRPr="004A7029" w:rsidRDefault="007739E4" w:rsidP="007739E4">
      <w:pPr>
        <w:rPr>
          <w:sz w:val="24"/>
          <w:szCs w:val="24"/>
          <w:rtl/>
        </w:rPr>
      </w:pPr>
      <w:r w:rsidRPr="004A7029">
        <w:rPr>
          <w:rFonts w:cs="Arial"/>
          <w:sz w:val="24"/>
          <w:szCs w:val="24"/>
          <w:rtl/>
        </w:rPr>
        <w:t xml:space="preserve">מסלו שכח בפירמידה שלו מה שדווקא הכי חסר לעולה: להרגיש את עצמו כקיים </w:t>
      </w:r>
      <w:proofErr w:type="spellStart"/>
      <w:r w:rsidRPr="004A7029">
        <w:rPr>
          <w:rFonts w:cs="Arial"/>
          <w:sz w:val="24"/>
          <w:szCs w:val="24"/>
          <w:rtl/>
        </w:rPr>
        <w:t>כרלוונתי</w:t>
      </w:r>
      <w:proofErr w:type="spellEnd"/>
      <w:r w:rsidRPr="004A7029">
        <w:rPr>
          <w:rFonts w:cs="Arial"/>
          <w:sz w:val="24"/>
          <w:szCs w:val="24"/>
          <w:rtl/>
        </w:rPr>
        <w:t xml:space="preserve"> </w:t>
      </w:r>
      <w:r>
        <w:rPr>
          <w:rFonts w:cs="Arial" w:hint="cs"/>
          <w:sz w:val="24"/>
          <w:szCs w:val="24"/>
          <w:rtl/>
        </w:rPr>
        <w:t>ו</w:t>
      </w:r>
      <w:r w:rsidRPr="004A7029">
        <w:rPr>
          <w:rFonts w:cs="Arial"/>
          <w:sz w:val="24"/>
          <w:szCs w:val="24"/>
          <w:rtl/>
        </w:rPr>
        <w:t xml:space="preserve">לא כנכה, או נחות, אלא שייך </w:t>
      </w:r>
      <w:r>
        <w:rPr>
          <w:rFonts w:cs="Arial" w:hint="cs"/>
          <w:sz w:val="24"/>
          <w:szCs w:val="24"/>
          <w:rtl/>
        </w:rPr>
        <w:t>ו</w:t>
      </w:r>
      <w:r w:rsidRPr="004A7029">
        <w:rPr>
          <w:rFonts w:cs="Arial"/>
          <w:sz w:val="24"/>
          <w:szCs w:val="24"/>
          <w:rtl/>
        </w:rPr>
        <w:t>שווה. תרגילים על מנת להפנים. </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t>אמון והגנה הדו צדדיים בקליטת התלמיד. </w:t>
      </w:r>
    </w:p>
    <w:p w:rsidR="007739E4" w:rsidRPr="004A7029" w:rsidRDefault="007739E4" w:rsidP="007739E4">
      <w:pPr>
        <w:rPr>
          <w:sz w:val="24"/>
          <w:szCs w:val="24"/>
          <w:rtl/>
        </w:rPr>
      </w:pPr>
      <w:r w:rsidRPr="004A7029">
        <w:rPr>
          <w:rFonts w:cs="Arial"/>
          <w:sz w:val="24"/>
          <w:szCs w:val="24"/>
          <w:rtl/>
        </w:rPr>
        <w:t xml:space="preserve">בן אדם בכל שלבי החיים שלו רוצה שנגן עליו ושנאמין בו. </w:t>
      </w:r>
      <w:r>
        <w:rPr>
          <w:rFonts w:cs="Arial" w:hint="cs"/>
          <w:sz w:val="24"/>
          <w:szCs w:val="24"/>
          <w:rtl/>
        </w:rPr>
        <w:t>מ</w:t>
      </w:r>
      <w:r w:rsidRPr="004A7029">
        <w:rPr>
          <w:rFonts w:cs="Arial"/>
          <w:sz w:val="24"/>
          <w:szCs w:val="24"/>
          <w:rtl/>
        </w:rPr>
        <w:t>צד שני הוא גם רוצה לספק הגנה למה שחשוב לו ולמצ</w:t>
      </w:r>
      <w:r>
        <w:rPr>
          <w:rFonts w:cs="Arial" w:hint="cs"/>
          <w:sz w:val="24"/>
          <w:szCs w:val="24"/>
          <w:rtl/>
        </w:rPr>
        <w:t>ו</w:t>
      </w:r>
      <w:r w:rsidRPr="004A7029">
        <w:rPr>
          <w:rFonts w:cs="Arial"/>
          <w:sz w:val="24"/>
          <w:szCs w:val="24"/>
          <w:rtl/>
        </w:rPr>
        <w:t>א אנשים אמינים בדרכו לבנות עליהם ולהיבנות בעזרתם. משחק כדי לממש שמה שנראה ברור מאליו הוא קשה להשגה בעולם שבו מצוי העולה הצעיר. </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lastRenderedPageBreak/>
        <w:t xml:space="preserve">חלון </w:t>
      </w:r>
      <w:proofErr w:type="spellStart"/>
      <w:r w:rsidRPr="004A7029">
        <w:rPr>
          <w:rFonts w:cs="Arial"/>
          <w:sz w:val="24"/>
          <w:szCs w:val="24"/>
          <w:rtl/>
        </w:rPr>
        <w:t>ג'והרי</w:t>
      </w:r>
      <w:proofErr w:type="spellEnd"/>
      <w:r w:rsidRPr="004A7029">
        <w:rPr>
          <w:rFonts w:cs="Arial"/>
          <w:sz w:val="24"/>
          <w:szCs w:val="24"/>
          <w:rtl/>
        </w:rPr>
        <w:t xml:space="preserve"> ואתגרי המורה הקולט עלייה: </w:t>
      </w:r>
    </w:p>
    <w:p w:rsidR="007739E4" w:rsidRPr="004A7029" w:rsidRDefault="007739E4" w:rsidP="007739E4">
      <w:pPr>
        <w:rPr>
          <w:sz w:val="24"/>
          <w:szCs w:val="24"/>
          <w:rtl/>
        </w:rPr>
      </w:pPr>
      <w:r w:rsidRPr="004A7029">
        <w:rPr>
          <w:rFonts w:cs="Arial"/>
          <w:sz w:val="24"/>
          <w:szCs w:val="24"/>
          <w:rtl/>
        </w:rPr>
        <w:t>לזהות בכמה תובנות מה מצבו של התלמיד העו</w:t>
      </w:r>
      <w:r>
        <w:rPr>
          <w:rFonts w:cs="Arial" w:hint="cs"/>
          <w:sz w:val="24"/>
          <w:szCs w:val="24"/>
          <w:rtl/>
        </w:rPr>
        <w:t>ל</w:t>
      </w:r>
      <w:r w:rsidRPr="004A7029">
        <w:rPr>
          <w:rFonts w:cs="Arial"/>
          <w:sz w:val="24"/>
          <w:szCs w:val="24"/>
          <w:rtl/>
        </w:rPr>
        <w:t>ה</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t>סרט המתאר את המדדים שיאפשרו למורה לדעת אם הוא קולט נכון או צריך להשתפר ובמה. </w:t>
      </w:r>
    </w:p>
    <w:p w:rsidR="007739E4" w:rsidRPr="004A7029" w:rsidRDefault="007739E4" w:rsidP="007739E4">
      <w:pPr>
        <w:rPr>
          <w:sz w:val="24"/>
          <w:szCs w:val="24"/>
          <w:rtl/>
        </w:rPr>
      </w:pPr>
    </w:p>
    <w:p w:rsidR="007739E4" w:rsidRPr="004A7029" w:rsidRDefault="007739E4" w:rsidP="007739E4">
      <w:pPr>
        <w:pStyle w:val="a3"/>
        <w:numPr>
          <w:ilvl w:val="0"/>
          <w:numId w:val="1"/>
        </w:numPr>
        <w:rPr>
          <w:sz w:val="24"/>
          <w:szCs w:val="24"/>
          <w:rtl/>
        </w:rPr>
      </w:pPr>
      <w:r w:rsidRPr="004A7029">
        <w:rPr>
          <w:rFonts w:cs="Arial"/>
          <w:sz w:val="24"/>
          <w:szCs w:val="24"/>
          <w:rtl/>
        </w:rPr>
        <w:t>10 המפתחות למנוע מצב של "חוסר עונים נרכש" אצל הצעיר </w:t>
      </w:r>
    </w:p>
    <w:p w:rsidR="007739E4" w:rsidRPr="004A7029" w:rsidRDefault="007739E4" w:rsidP="007739E4">
      <w:pPr>
        <w:rPr>
          <w:sz w:val="24"/>
          <w:szCs w:val="24"/>
          <w:rtl/>
        </w:rPr>
      </w:pPr>
      <w:r w:rsidRPr="004A7029">
        <w:rPr>
          <w:rFonts w:cs="Arial"/>
          <w:sz w:val="24"/>
          <w:szCs w:val="24"/>
          <w:rtl/>
        </w:rPr>
        <w:t xml:space="preserve">חוסר אונים נרכש (וגם: חוסר אונים נלמד או אי-שליטה נלמדת), הוא מצב פסיכולוגי הנוצר בעקבות חוויות מרובות של היעדר שליטה, </w:t>
      </w:r>
      <w:r>
        <w:rPr>
          <w:rFonts w:cs="Arial" w:hint="cs"/>
          <w:sz w:val="24"/>
          <w:szCs w:val="24"/>
          <w:rtl/>
        </w:rPr>
        <w:t>ש</w:t>
      </w:r>
      <w:r w:rsidRPr="004A7029">
        <w:rPr>
          <w:rFonts w:cs="Arial"/>
          <w:sz w:val="24"/>
          <w:szCs w:val="24"/>
          <w:rtl/>
        </w:rPr>
        <w:t>בהן אין לפרט יכולת לשנות מצב בלתי נעים. נלמד איך לפעול כדי שהעולה לא יגיע לעולם למצב הזה. </w:t>
      </w:r>
    </w:p>
    <w:p w:rsidR="007739E4" w:rsidRPr="004A7029" w:rsidRDefault="007739E4" w:rsidP="007739E4">
      <w:pPr>
        <w:rPr>
          <w:sz w:val="24"/>
          <w:szCs w:val="24"/>
          <w:rtl/>
        </w:rPr>
      </w:pPr>
    </w:p>
    <w:p w:rsidR="007739E4" w:rsidRPr="002E69A5" w:rsidRDefault="007739E4" w:rsidP="007739E4">
      <w:pPr>
        <w:pStyle w:val="a3"/>
        <w:numPr>
          <w:ilvl w:val="0"/>
          <w:numId w:val="1"/>
        </w:numPr>
        <w:rPr>
          <w:sz w:val="24"/>
          <w:szCs w:val="24"/>
          <w:rtl/>
        </w:rPr>
      </w:pPr>
      <w:r w:rsidRPr="002E69A5">
        <w:rPr>
          <w:rFonts w:cs="Arial"/>
          <w:sz w:val="24"/>
          <w:szCs w:val="24"/>
          <w:rtl/>
        </w:rPr>
        <w:t>עבודת גמר: בניית שיעור או פעילות שמסכמים את העקרונות שלמדנו. </w:t>
      </w:r>
    </w:p>
    <w:p w:rsidR="007739E4" w:rsidRDefault="007739E4" w:rsidP="007739E4">
      <w:pPr>
        <w:rPr>
          <w:sz w:val="24"/>
          <w:szCs w:val="24"/>
          <w:rtl/>
        </w:rPr>
      </w:pPr>
    </w:p>
    <w:p w:rsidR="007739E4" w:rsidRDefault="007739E4" w:rsidP="007739E4">
      <w:pPr>
        <w:rPr>
          <w:rFonts w:cs="Arial"/>
          <w:sz w:val="24"/>
          <w:szCs w:val="24"/>
          <w:rtl/>
        </w:rPr>
      </w:pPr>
      <w:r w:rsidRPr="002E69A5">
        <w:rPr>
          <w:rFonts w:cs="Arial"/>
          <w:b/>
          <w:bCs/>
          <w:sz w:val="24"/>
          <w:szCs w:val="24"/>
          <w:rtl/>
        </w:rPr>
        <w:t>ציון</w:t>
      </w:r>
      <w:r>
        <w:rPr>
          <w:rFonts w:cs="Arial" w:hint="cs"/>
          <w:sz w:val="24"/>
          <w:szCs w:val="24"/>
          <w:rtl/>
        </w:rPr>
        <w:t>:</w:t>
      </w:r>
      <w:r w:rsidRPr="002E69A5">
        <w:rPr>
          <w:rFonts w:cs="Arial"/>
          <w:sz w:val="24"/>
          <w:szCs w:val="24"/>
          <w:rtl/>
        </w:rPr>
        <w:t xml:space="preserve"> 80 אחוז השתתפות 20 פרויקט גמר</w:t>
      </w:r>
    </w:p>
    <w:p w:rsidR="007739E4" w:rsidRDefault="007739E4" w:rsidP="007739E4">
      <w:pPr>
        <w:rPr>
          <w:sz w:val="24"/>
          <w:szCs w:val="24"/>
          <w:rtl/>
        </w:rPr>
      </w:pPr>
    </w:p>
    <w:p w:rsidR="007739E4" w:rsidRDefault="007739E4" w:rsidP="007739E4">
      <w:pPr>
        <w:rPr>
          <w:sz w:val="24"/>
          <w:szCs w:val="24"/>
          <w:rtl/>
        </w:rPr>
      </w:pPr>
      <w:r w:rsidRPr="005A148E">
        <w:rPr>
          <w:rFonts w:cs="Arial"/>
          <w:b/>
          <w:bCs/>
          <w:sz w:val="24"/>
          <w:szCs w:val="24"/>
          <w:rtl/>
        </w:rPr>
        <w:t xml:space="preserve">אשר </w:t>
      </w:r>
      <w:proofErr w:type="spellStart"/>
      <w:r w:rsidRPr="005A148E">
        <w:rPr>
          <w:rFonts w:cs="Arial"/>
          <w:b/>
          <w:bCs/>
          <w:sz w:val="24"/>
          <w:szCs w:val="24"/>
          <w:rtl/>
        </w:rPr>
        <w:t>זנזורי</w:t>
      </w:r>
      <w:proofErr w:type="spellEnd"/>
      <w:r w:rsidRPr="009E3557">
        <w:rPr>
          <w:rFonts w:cs="Arial"/>
          <w:sz w:val="24"/>
          <w:szCs w:val="24"/>
          <w:rtl/>
        </w:rPr>
        <w:t xml:space="preserve"> הינו מומחה לחינוך בלתי פורמלי. הוא עלה </w:t>
      </w:r>
      <w:r>
        <w:rPr>
          <w:rFonts w:cs="Arial" w:hint="cs"/>
          <w:sz w:val="24"/>
          <w:szCs w:val="24"/>
          <w:rtl/>
        </w:rPr>
        <w:t>מצרפת</w:t>
      </w:r>
      <w:r w:rsidRPr="009E3557">
        <w:rPr>
          <w:rFonts w:cs="Arial"/>
          <w:sz w:val="24"/>
          <w:szCs w:val="24"/>
          <w:rtl/>
        </w:rPr>
        <w:t xml:space="preserve"> בשנת 1983 והיה פעיל כבר בתחילת דרכו בתחום העלייה והקליטה של יהודי צרפת בארץ. הוא אחד המייסדים של התאחדות הסטודנטים עולים מצרפת (</w:t>
      </w:r>
      <w:proofErr w:type="spellStart"/>
      <w:r w:rsidRPr="009E3557">
        <w:rPr>
          <w:sz w:val="24"/>
          <w:szCs w:val="24"/>
        </w:rPr>
        <w:t>Cnef</w:t>
      </w:r>
      <w:proofErr w:type="spellEnd"/>
      <w:r w:rsidRPr="009E3557">
        <w:rPr>
          <w:rFonts w:cs="Arial"/>
          <w:sz w:val="24"/>
          <w:szCs w:val="24"/>
          <w:rtl/>
        </w:rPr>
        <w:t>) והיה גם מנכ"ל התאחדות עולי צרפת וצפון אפריקה (</w:t>
      </w:r>
      <w:r w:rsidRPr="009E3557">
        <w:rPr>
          <w:sz w:val="24"/>
          <w:szCs w:val="24"/>
        </w:rPr>
        <w:t>UNIFAN</w:t>
      </w:r>
      <w:r w:rsidRPr="009E3557">
        <w:rPr>
          <w:rFonts w:cs="Arial"/>
          <w:sz w:val="24"/>
          <w:szCs w:val="24"/>
          <w:rtl/>
        </w:rPr>
        <w:t>). כיום הוא מרצה מוערך ומנהל חברה המייעצת לקרנות, מועצות ועמותות בתחום החינוך הפורמלי והבלתי פורמלי.</w:t>
      </w:r>
    </w:p>
    <w:p w:rsidR="002C66D9" w:rsidRDefault="002C66D9"/>
    <w:sectPr w:rsidR="002C66D9" w:rsidSect="00B06B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C17DE"/>
    <w:multiLevelType w:val="hybridMultilevel"/>
    <w:tmpl w:val="9D84612A"/>
    <w:lvl w:ilvl="0" w:tplc="6D22146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E4"/>
    <w:rsid w:val="002C66D9"/>
    <w:rsid w:val="007739E4"/>
    <w:rsid w:val="00B06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31DCF-FE62-4FAA-905E-57B5486E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9E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2093</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2022-08-24T07:57:00Z</dcterms:created>
  <dcterms:modified xsi:type="dcterms:W3CDTF">2022-08-24T07:59:00Z</dcterms:modified>
</cp:coreProperties>
</file>